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3A" w:rsidRDefault="000A023A" w:rsidP="0003707E">
      <w:pPr>
        <w:pStyle w:val="a3"/>
        <w:shd w:val="clear" w:color="auto" w:fill="F0F8FF"/>
        <w:spacing w:before="0" w:beforeAutospacing="0" w:after="30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noProof/>
          <w:color w:val="333333"/>
          <w:sz w:val="21"/>
          <w:szCs w:val="21"/>
        </w:rPr>
        <w:drawing>
          <wp:inline distT="0" distB="0" distL="0" distR="0">
            <wp:extent cx="6076950" cy="3686175"/>
            <wp:effectExtent l="0" t="0" r="0" b="9525"/>
            <wp:docPr id="2" name="Рисунок 2" descr="C:\Users\zakupki\Desktop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upki\Desktop\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3A" w:rsidRPr="000A023A" w:rsidRDefault="000A023A" w:rsidP="0003707E">
      <w:pPr>
        <w:pStyle w:val="a3"/>
        <w:shd w:val="clear" w:color="auto" w:fill="F0F8FF"/>
        <w:spacing w:before="0" w:beforeAutospacing="0" w:after="300" w:afterAutospacing="0"/>
        <w:rPr>
          <w:rFonts w:ascii="Verdana" w:hAnsi="Verdana"/>
          <w:b/>
          <w:bCs/>
          <w:color w:val="0066CC"/>
          <w:sz w:val="33"/>
          <w:szCs w:val="33"/>
        </w:rPr>
      </w:pPr>
      <w:r>
        <w:rPr>
          <w:rStyle w:val="a4"/>
          <w:rFonts w:ascii="Verdana" w:hAnsi="Verdana"/>
          <w:color w:val="0066CC"/>
          <w:sz w:val="33"/>
          <w:szCs w:val="33"/>
        </w:rPr>
        <w:t>Как стать донором?</w:t>
      </w:r>
    </w:p>
    <w:p w:rsidR="0003707E" w:rsidRDefault="0003707E" w:rsidP="0003707E">
      <w:pPr>
        <w:pStyle w:val="a3"/>
        <w:shd w:val="clear" w:color="auto" w:fill="F0F8FF"/>
        <w:spacing w:before="0" w:beforeAutospacing="0" w:after="300" w:afterAutospacing="0"/>
        <w:rPr>
          <w:rFonts w:ascii="Open Sans" w:hAnsi="Open Sans"/>
          <w:color w:val="333333"/>
          <w:sz w:val="21"/>
          <w:szCs w:val="21"/>
        </w:rPr>
      </w:pPr>
      <w:r>
        <w:rPr>
          <w:rStyle w:val="a4"/>
          <w:rFonts w:ascii="Verdana" w:hAnsi="Verdana"/>
          <w:color w:val="A52A2A"/>
          <w:sz w:val="30"/>
          <w:szCs w:val="30"/>
        </w:rPr>
        <w:t>1. Кому можно сдавать кровь и ее компоненты?</w:t>
      </w:r>
    </w:p>
    <w:p w:rsidR="0003707E" w:rsidRDefault="0003707E" w:rsidP="0003707E">
      <w:pPr>
        <w:pStyle w:val="rtejustify"/>
        <w:shd w:val="clear" w:color="auto" w:fill="F0F8FF"/>
        <w:spacing w:before="0" w:beforeAutospacing="0" w:after="300" w:afterAutospacing="0"/>
        <w:jc w:val="both"/>
        <w:rPr>
          <w:rFonts w:ascii="Open Sans" w:hAnsi="Open Sans"/>
          <w:color w:val="333333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1"/>
          <w:szCs w:val="21"/>
        </w:rPr>
        <w:t>В соответствии с частью первой статьи 19 </w:t>
      </w:r>
      <w:hyperlink r:id="rId7" w:history="1">
        <w:r>
          <w:rPr>
            <w:rStyle w:val="a5"/>
            <w:rFonts w:ascii="Verdana" w:hAnsi="Verdana"/>
            <w:color w:val="428BCA"/>
            <w:sz w:val="21"/>
            <w:szCs w:val="21"/>
            <w:u w:val="none"/>
          </w:rPr>
          <w:t>Закона Республики Беларусь от 30 ноября 2010 года «О донорстве крови и ее компонентов»</w:t>
        </w:r>
      </w:hyperlink>
      <w:r>
        <w:rPr>
          <w:rFonts w:ascii="Verdana" w:hAnsi="Verdana"/>
          <w:color w:val="333333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в государственном учреждении «Республиканский научно-практический центр трансфузиологии и медицинских биотехнологий» (далее – Центр) сдать кровь, ее компоненты могут граждане Республики Беларусь, а также иностранные граждане и лица без гражданства, постоянно проживающие в Республике Беларусь, в возрасте от восемнадцати до шестидесяти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лет, обладающие полной дееспособностью, не страдающие заболеваниями и не находящиеся в состояниях, при которых сдача крови, ее компонентов противопоказана.</w:t>
      </w:r>
      <w:proofErr w:type="gramEnd"/>
      <w:r>
        <w:rPr>
          <w:rFonts w:ascii="Verdana" w:hAnsi="Verdana"/>
          <w:color w:val="000000"/>
          <w:sz w:val="21"/>
          <w:szCs w:val="21"/>
        </w:rPr>
        <w:br/>
        <w:t>Врачебно-консультационной комиссией Центра может быть принято решение о допуске к выполнению донорской функции лиц в во</w:t>
      </w:r>
      <w:r w:rsidR="00744A69">
        <w:rPr>
          <w:rFonts w:ascii="Verdana" w:hAnsi="Verdana"/>
          <w:color w:val="000000"/>
          <w:sz w:val="21"/>
          <w:szCs w:val="21"/>
        </w:rPr>
        <w:t xml:space="preserve">зрасте старше шестидесяти лет в </w:t>
      </w:r>
      <w:r>
        <w:rPr>
          <w:rFonts w:ascii="Verdana" w:hAnsi="Verdana"/>
          <w:color w:val="000000"/>
          <w:sz w:val="21"/>
          <w:szCs w:val="21"/>
        </w:rPr>
        <w:t>следующих исключительных случаях:</w:t>
      </w:r>
      <w:r>
        <w:rPr>
          <w:rFonts w:ascii="Verdana" w:hAnsi="Verdana"/>
          <w:color w:val="000000"/>
          <w:sz w:val="21"/>
          <w:szCs w:val="21"/>
        </w:rPr>
        <w:br/>
        <w:t>при наличии у донора крови и ее компонентов (далее − донор) резус-отрицательной принадлежности всех групп крови;</w:t>
      </w:r>
      <w:r>
        <w:rPr>
          <w:rFonts w:ascii="Verdana" w:hAnsi="Verdana"/>
          <w:color w:val="000000"/>
          <w:sz w:val="21"/>
          <w:szCs w:val="21"/>
        </w:rPr>
        <w:br/>
        <w:t xml:space="preserve">при недостающем количестве </w:t>
      </w:r>
      <w:proofErr w:type="spellStart"/>
      <w:r>
        <w:rPr>
          <w:rFonts w:ascii="Verdana" w:hAnsi="Verdana"/>
          <w:color w:val="000000"/>
          <w:sz w:val="21"/>
          <w:szCs w:val="21"/>
        </w:rPr>
        <w:t>донаций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(не более 3-5 </w:t>
      </w:r>
      <w:proofErr w:type="spellStart"/>
      <w:r>
        <w:rPr>
          <w:rFonts w:ascii="Verdana" w:hAnsi="Verdana"/>
          <w:color w:val="000000"/>
          <w:sz w:val="21"/>
          <w:szCs w:val="21"/>
        </w:rPr>
        <w:t>донаций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крови или 10-15 </w:t>
      </w:r>
      <w:proofErr w:type="spellStart"/>
      <w:r>
        <w:rPr>
          <w:rFonts w:ascii="Verdana" w:hAnsi="Verdana"/>
          <w:color w:val="000000"/>
          <w:sz w:val="21"/>
          <w:szCs w:val="21"/>
        </w:rPr>
        <w:t>донаций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компонентов крови) до получения донором нагрудного знака отличия Министерства здравоохранения Республики Беларусь «</w:t>
      </w:r>
      <w:proofErr w:type="spellStart"/>
      <w:r>
        <w:rPr>
          <w:rFonts w:ascii="Verdana" w:hAnsi="Verdana"/>
          <w:color w:val="000000"/>
          <w:sz w:val="21"/>
          <w:szCs w:val="21"/>
        </w:rPr>
        <w:t>Ганаровы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донар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Рэспубл</w:t>
      </w:r>
      <w:proofErr w:type="gramStart"/>
      <w:r>
        <w:rPr>
          <w:rFonts w:ascii="Verdana" w:hAnsi="Verdana"/>
          <w:color w:val="000000"/>
          <w:sz w:val="21"/>
          <w:szCs w:val="21"/>
        </w:rPr>
        <w:t>i</w:t>
      </w:r>
      <w:proofErr w:type="gramEnd"/>
      <w:r>
        <w:rPr>
          <w:rFonts w:ascii="Verdana" w:hAnsi="Verdana"/>
          <w:color w:val="000000"/>
          <w:sz w:val="21"/>
          <w:szCs w:val="21"/>
        </w:rPr>
        <w:t>кi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Беларусь».</w:t>
      </w:r>
    </w:p>
    <w:p w:rsidR="0003707E" w:rsidRDefault="0003707E" w:rsidP="0003707E">
      <w:pPr>
        <w:pStyle w:val="a3"/>
        <w:shd w:val="clear" w:color="auto" w:fill="F0F8FF"/>
        <w:spacing w:before="0" w:beforeAutospacing="0" w:after="0" w:afterAutospacing="0"/>
        <w:rPr>
          <w:rFonts w:ascii="Open Sans" w:hAnsi="Open Sans"/>
          <w:color w:val="333333"/>
          <w:sz w:val="26"/>
          <w:szCs w:val="26"/>
        </w:rPr>
      </w:pPr>
      <w:r>
        <w:rPr>
          <w:rStyle w:val="a4"/>
          <w:rFonts w:ascii="Verdana" w:hAnsi="Verdana"/>
          <w:color w:val="0066CC"/>
        </w:rPr>
        <w:t>Важно!!!</w:t>
      </w:r>
      <w:r>
        <w:rPr>
          <w:rFonts w:ascii="Verdana" w:hAnsi="Verdana"/>
          <w:color w:val="0066CC"/>
        </w:rPr>
        <w:br/>
      </w:r>
      <w:proofErr w:type="gramStart"/>
      <w:r>
        <w:rPr>
          <w:rStyle w:val="a4"/>
          <w:rFonts w:ascii="Verdana" w:hAnsi="Verdana"/>
          <w:color w:val="0066CC"/>
        </w:rPr>
        <w:t xml:space="preserve">Доноры плазмы и тромбоцитов методами автоматического </w:t>
      </w:r>
      <w:proofErr w:type="spellStart"/>
      <w:r>
        <w:rPr>
          <w:rStyle w:val="a4"/>
          <w:rFonts w:ascii="Verdana" w:hAnsi="Verdana"/>
          <w:color w:val="0066CC"/>
        </w:rPr>
        <w:t>плазмафереза</w:t>
      </w:r>
      <w:proofErr w:type="spellEnd"/>
      <w:r>
        <w:rPr>
          <w:rStyle w:val="a4"/>
          <w:rFonts w:ascii="Verdana" w:hAnsi="Verdana"/>
          <w:color w:val="0066CC"/>
        </w:rPr>
        <w:t xml:space="preserve"> и </w:t>
      </w:r>
      <w:proofErr w:type="spellStart"/>
      <w:r>
        <w:rPr>
          <w:rStyle w:val="a4"/>
          <w:rFonts w:ascii="Verdana" w:hAnsi="Verdana"/>
          <w:color w:val="0066CC"/>
        </w:rPr>
        <w:t>тромбоцитафереза</w:t>
      </w:r>
      <w:proofErr w:type="spellEnd"/>
      <w:r>
        <w:rPr>
          <w:rStyle w:val="a4"/>
          <w:rFonts w:ascii="Verdana" w:hAnsi="Verdana"/>
          <w:color w:val="0066CC"/>
        </w:rPr>
        <w:t xml:space="preserve"> должны иметь хорошо выраженные локтевые вены и предшествующий опыт донорства крови, ее компонентов, включающий не менее двух </w:t>
      </w:r>
      <w:proofErr w:type="spellStart"/>
      <w:r>
        <w:rPr>
          <w:rStyle w:val="a4"/>
          <w:rFonts w:ascii="Verdana" w:hAnsi="Verdana"/>
          <w:color w:val="0066CC"/>
        </w:rPr>
        <w:t>донаций</w:t>
      </w:r>
      <w:proofErr w:type="spellEnd"/>
      <w:r>
        <w:rPr>
          <w:rStyle w:val="a4"/>
          <w:rFonts w:ascii="Verdana" w:hAnsi="Verdana"/>
          <w:color w:val="0066CC"/>
        </w:rPr>
        <w:t xml:space="preserve"> крови и (или) одной </w:t>
      </w:r>
      <w:proofErr w:type="spellStart"/>
      <w:r>
        <w:rPr>
          <w:rStyle w:val="a4"/>
          <w:rFonts w:ascii="Verdana" w:hAnsi="Verdana"/>
          <w:color w:val="0066CC"/>
        </w:rPr>
        <w:t>донации</w:t>
      </w:r>
      <w:proofErr w:type="spellEnd"/>
      <w:r>
        <w:rPr>
          <w:rStyle w:val="a4"/>
          <w:rFonts w:ascii="Verdana" w:hAnsi="Verdana"/>
          <w:color w:val="0066CC"/>
        </w:rPr>
        <w:t xml:space="preserve"> плазмы методом мануального</w:t>
      </w:r>
      <w:proofErr w:type="gramEnd"/>
      <w:r>
        <w:rPr>
          <w:rStyle w:val="a4"/>
          <w:rFonts w:ascii="Verdana" w:hAnsi="Verdana"/>
          <w:color w:val="0066CC"/>
        </w:rPr>
        <w:t xml:space="preserve"> </w:t>
      </w:r>
      <w:proofErr w:type="spellStart"/>
      <w:r>
        <w:rPr>
          <w:rStyle w:val="a4"/>
          <w:rFonts w:ascii="Verdana" w:hAnsi="Verdana"/>
          <w:color w:val="0066CC"/>
        </w:rPr>
        <w:t>плазмафереза</w:t>
      </w:r>
      <w:proofErr w:type="spellEnd"/>
      <w:r>
        <w:rPr>
          <w:rStyle w:val="a4"/>
          <w:rFonts w:ascii="Verdana" w:hAnsi="Verdana"/>
          <w:color w:val="0066CC"/>
        </w:rPr>
        <w:t>.</w:t>
      </w:r>
    </w:p>
    <w:p w:rsidR="00D8346B" w:rsidRDefault="00D8346B"/>
    <w:p w:rsidR="00337EFD" w:rsidRPr="00337EFD" w:rsidRDefault="00337EFD" w:rsidP="00337EFD">
      <w:pPr>
        <w:shd w:val="clear" w:color="auto" w:fill="F0F8FF"/>
        <w:spacing w:after="30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A52A2A"/>
          <w:sz w:val="30"/>
          <w:szCs w:val="30"/>
          <w:lang w:eastAsia="ru-RU"/>
        </w:rPr>
        <w:t>2</w:t>
      </w:r>
      <w:r w:rsidRPr="00337EFD">
        <w:rPr>
          <w:rFonts w:ascii="Verdana" w:eastAsia="Times New Roman" w:hAnsi="Verdana" w:cs="Times New Roman"/>
          <w:b/>
          <w:bCs/>
          <w:color w:val="A52A2A"/>
          <w:sz w:val="30"/>
          <w:szCs w:val="30"/>
          <w:lang w:eastAsia="ru-RU"/>
        </w:rPr>
        <w:t>. Что при себе иметь?</w:t>
      </w:r>
    </w:p>
    <w:p w:rsidR="00337EFD" w:rsidRPr="00337EFD" w:rsidRDefault="00337EFD" w:rsidP="00337EFD">
      <w:pPr>
        <w:shd w:val="clear" w:color="auto" w:fill="F0F8FF"/>
        <w:spacing w:after="30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Перед началом проведения медицинского осмотра донор для регистрации представляет в Центр следующие документы:</w:t>
      </w:r>
      <w:r w:rsidRPr="00337EF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паспорт гражданина Республики Беларусь или иной </w:t>
      </w:r>
      <w:hyperlink r:id="rId8" w:history="1">
        <w:r w:rsidRPr="00337EFD">
          <w:rPr>
            <w:rFonts w:ascii="Verdana" w:eastAsia="Times New Roman" w:hAnsi="Verdana" w:cs="Times New Roman"/>
            <w:b/>
            <w:bCs/>
            <w:color w:val="428BCA"/>
            <w:sz w:val="21"/>
            <w:szCs w:val="21"/>
            <w:lang w:eastAsia="ru-RU"/>
          </w:rPr>
          <w:t>документ удостоверяющий личность</w:t>
        </w:r>
      </w:hyperlink>
      <w:r w:rsidRPr="00337EFD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;</w:t>
      </w:r>
      <w:r w:rsidRPr="00337EF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br/>
      </w:r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военный билет (для военнообязанных перед первой </w:t>
      </w:r>
      <w:proofErr w:type="spellStart"/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донацией</w:t>
      </w:r>
      <w:proofErr w:type="spellEnd"/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крови и ее компонентов), в случаях, установленных законодательством - </w:t>
      </w:r>
      <w:proofErr w:type="spellStart"/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удостоврение</w:t>
      </w:r>
      <w:proofErr w:type="spellEnd"/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призывника;</w:t>
      </w:r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 xml:space="preserve">фотографию 3х4 см (перед первой </w:t>
      </w:r>
      <w:proofErr w:type="spellStart"/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донацией</w:t>
      </w:r>
      <w:proofErr w:type="spellEnd"/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крови и ее компонентов);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выписку из медицинских документов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на бумажном и (или) электронном носителе, выданную амбулаторно-поликлинической организацией здравоохранения по месту жительства (месту пребывания), а при наличии ведомственных организаций здравоохранения – по месту работы (учебы, службы) – перед первой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донацией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крови и ее компонентов, а в дальнейшем – 1 раз в 6 месяцев;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proofErr w:type="gramStart"/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результаты флюорографического (рентгенологического) исследования органов грудной клетки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– перед первой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донацией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крови и ее компонентов, а в дальнейшем – 1 раз в 12 месяцев (сведения фиксируются в выписке из медицинских документов);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результаты осмотра врачом-гинекологом (для женщин)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– перед первой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донацией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крови и ее компонентов, а в дальнейшем – 1 раз в 6 месяцев (сведения фиксируются в выписке из медицинских документов);</w:t>
      </w:r>
      <w:proofErr w:type="gram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337EF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результаты ЭКГ исследования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− перед первой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донацией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методом автоматического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плазмафереза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тромбоцитафереза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 в дальнейшем 1 раз в 6 месяцев.</w:t>
      </w:r>
    </w:p>
    <w:p w:rsidR="00337EFD" w:rsidRPr="00337EFD" w:rsidRDefault="00337EFD" w:rsidP="00337EFD">
      <w:pPr>
        <w:shd w:val="clear" w:color="auto" w:fill="F0F8FF"/>
        <w:spacing w:line="240" w:lineRule="auto"/>
        <w:jc w:val="both"/>
        <w:rPr>
          <w:rFonts w:ascii="Open Sans" w:eastAsia="Times New Roman" w:hAnsi="Open Sans" w:cs="Times New Roman"/>
          <w:color w:val="333333"/>
          <w:sz w:val="26"/>
          <w:szCs w:val="26"/>
          <w:lang w:eastAsia="ru-RU"/>
        </w:rPr>
      </w:pPr>
      <w:r w:rsidRPr="00337EFD">
        <w:rPr>
          <w:rFonts w:ascii="Verdana" w:eastAsia="Times New Roman" w:hAnsi="Verdana" w:cs="Times New Roman"/>
          <w:b/>
          <w:bCs/>
          <w:color w:val="0066CC"/>
          <w:sz w:val="24"/>
          <w:szCs w:val="24"/>
          <w:lang w:eastAsia="ru-RU"/>
        </w:rPr>
        <w:t>Важно!!!</w:t>
      </w:r>
      <w:r w:rsidRPr="00337EFD">
        <w:rPr>
          <w:rFonts w:ascii="Verdana" w:eastAsia="Times New Roman" w:hAnsi="Verdana" w:cs="Times New Roman"/>
          <w:b/>
          <w:bCs/>
          <w:color w:val="0066CC"/>
          <w:sz w:val="24"/>
          <w:szCs w:val="24"/>
          <w:lang w:eastAsia="ru-RU"/>
        </w:rPr>
        <w:br/>
      </w:r>
      <w:proofErr w:type="gramStart"/>
      <w:r w:rsidRPr="00337EFD">
        <w:rPr>
          <w:rFonts w:ascii="Verdana" w:eastAsia="Times New Roman" w:hAnsi="Verdana" w:cs="Times New Roman"/>
          <w:b/>
          <w:bCs/>
          <w:color w:val="0066CC"/>
          <w:sz w:val="24"/>
          <w:szCs w:val="24"/>
          <w:lang w:eastAsia="ru-RU"/>
        </w:rPr>
        <w:t>В случае если донор в рамках диспансеризации, медицинского обследования или с иной целью в течение установленного срока прошел флюорографическое (рентгенологическое) исследование органов грудной клетки и осмотр врача-гинеколога (для женщин), а также при наличии письменного согласия донора, выписка из медицинских документов может быть запрошена Центром из амбулаторно-поликлинической организации здравоохранения самостоятельно в ходе предварительной записи.</w:t>
      </w:r>
      <w:proofErr w:type="gramEnd"/>
    </w:p>
    <w:p w:rsidR="00337EFD" w:rsidRPr="00337EFD" w:rsidRDefault="00337EFD" w:rsidP="00337EFD">
      <w:pPr>
        <w:shd w:val="clear" w:color="auto" w:fill="F0F8FF"/>
        <w:spacing w:after="30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A52A2A"/>
          <w:sz w:val="30"/>
          <w:szCs w:val="30"/>
          <w:lang w:eastAsia="ru-RU"/>
        </w:rPr>
        <w:t>3</w:t>
      </w:r>
      <w:r w:rsidRPr="00337EFD">
        <w:rPr>
          <w:rFonts w:ascii="Verdana" w:eastAsia="Times New Roman" w:hAnsi="Verdana" w:cs="Times New Roman"/>
          <w:b/>
          <w:bCs/>
          <w:color w:val="A52A2A"/>
          <w:sz w:val="30"/>
          <w:szCs w:val="30"/>
          <w:lang w:eastAsia="ru-RU"/>
        </w:rPr>
        <w:t>. Как подготовиться к сдаче крови и ее компонентов?</w:t>
      </w:r>
    </w:p>
    <w:p w:rsidR="00337EFD" w:rsidRPr="00337EFD" w:rsidRDefault="00337EFD" w:rsidP="00337EFD">
      <w:pPr>
        <w:shd w:val="clear" w:color="auto" w:fill="F0F8FF"/>
        <w:spacing w:after="30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подготовке к сдаче крови и ее компонентов необходимо соблюдать следующие простые правила:</w:t>
      </w:r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вести здоровый образ жизни, соблюдать правила личной и общественной гигиены;</w:t>
      </w:r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избегать случайных половых связей, которые могут повлечь за собой заболевание вирусными инфекциями, передающимися половым путем (вирусный гепатит</w:t>
      </w:r>
      <w:proofErr w:type="gram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вирусный гепатит С, другие вирусные гепатиты с парентеральным механизмом передачи, сифилис, ВИЧ (СПИД));</w:t>
      </w:r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избегать таких косметических манипуляций как тату, пирсинг,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импланты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шрамирование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сплит языка и др. или воздержаться от выполнения </w:t>
      </w: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донорской функции на 6 месяцев от даты проведения последней манипуляции;</w:t>
      </w:r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gram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 приходить на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донацию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 наличии признаков недомогания (насморк, кашель, головная боль, боль в горле, повышение или понижение артериального давления), наличии острых и (или) обострении хронических заболеваний, во время приема лекарственных средств (в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т.ч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с профилактической целью), а также в состоянии переутомления (после чрезмерных физических нагрузок, работы в ночное время суток и пр.);</w:t>
      </w:r>
      <w:proofErr w:type="gramEnd"/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 планировать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донацию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непосредственно перед экзаменами, соревнованиями, во время интенсивного периода работы, перед работой в горячих цехах и в ночное время суток;</w:t>
      </w:r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gram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накануне и в день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донации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исключить из рациона питания жирную, жареную, острую, копченую пищу, молочные продукты, яйца, масло, бананы, цитрусовые, орехи;</w:t>
      </w:r>
      <w:proofErr w:type="gramEnd"/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proofErr w:type="gram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утром в день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донации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«легко» позавтракать (сладкий чай, варенье, хлеб, сухари, сушки, отварные крупы, макароны на воде без масла, рыба, приготовленная на пару, соки, морсы, компоты, минеральная вода, овощи, фрукты (за исключением цитрусовых и бананов)).</w:t>
      </w:r>
      <w:proofErr w:type="gram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«На голодный желудок» проходить процедуру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донации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 рекомендуется;</w:t>
      </w:r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 10 дней до </w:t>
      </w:r>
      <w:proofErr w:type="spellStart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донации</w:t>
      </w:r>
      <w:proofErr w:type="spellEnd"/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воздержаться от приема антибиотиков, за 5 дней – салицилатов и аналгетиков, за двое суток – от употребления алкогольных, слабоалкогольных напитков и пива, за два часа – от курения;</w:t>
      </w:r>
    </w:p>
    <w:p w:rsidR="00337EFD" w:rsidRPr="00337EFD" w:rsidRDefault="00337EFD" w:rsidP="00337EFD">
      <w:pPr>
        <w:numPr>
          <w:ilvl w:val="0"/>
          <w:numId w:val="1"/>
        </w:numPr>
        <w:shd w:val="clear" w:color="auto" w:fill="F0F8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337EF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донорам крови и ее компонентов категорически запрещается употребление наркотических средств, психотропных веществ, их аналогов, токсических или других одурманивающих веществ.</w:t>
      </w:r>
    </w:p>
    <w:p w:rsidR="00337EFD" w:rsidRPr="00337EFD" w:rsidRDefault="00744A69" w:rsidP="00337EFD">
      <w:pPr>
        <w:rPr>
          <w:rStyle w:val="a4"/>
          <w:rFonts w:ascii="Verdana" w:hAnsi="Verdana"/>
          <w:color w:val="A52A2A"/>
          <w:sz w:val="30"/>
          <w:szCs w:val="30"/>
          <w:shd w:val="clear" w:color="auto" w:fill="F0F8FF"/>
        </w:rPr>
      </w:pPr>
      <w:r>
        <w:rPr>
          <w:rStyle w:val="a4"/>
          <w:rFonts w:ascii="Verdana" w:hAnsi="Verdana"/>
          <w:color w:val="A52A2A"/>
          <w:sz w:val="30"/>
          <w:szCs w:val="30"/>
          <w:shd w:val="clear" w:color="auto" w:fill="F0F8FF"/>
        </w:rPr>
        <w:t>4</w:t>
      </w:r>
      <w:r w:rsidR="00337EFD" w:rsidRPr="00337EFD">
        <w:rPr>
          <w:rStyle w:val="a4"/>
          <w:rFonts w:ascii="Verdana" w:hAnsi="Verdana"/>
          <w:color w:val="A52A2A"/>
          <w:sz w:val="30"/>
          <w:szCs w:val="30"/>
          <w:shd w:val="clear" w:color="auto" w:fill="F0F8FF"/>
        </w:rPr>
        <w:t>. Какая минимальная масса тела, при которой возможн</w:t>
      </w:r>
      <w:r>
        <w:rPr>
          <w:rStyle w:val="a4"/>
          <w:rFonts w:ascii="Verdana" w:hAnsi="Verdana"/>
          <w:color w:val="A52A2A"/>
          <w:sz w:val="30"/>
          <w:szCs w:val="30"/>
          <w:shd w:val="clear" w:color="auto" w:fill="F0F8FF"/>
        </w:rPr>
        <w:t>а сдача крови и ее компонентов?</w:t>
      </w:r>
    </w:p>
    <w:p w:rsidR="00337EFD" w:rsidRPr="00744A69" w:rsidRDefault="00337EFD" w:rsidP="00337EFD">
      <w:pPr>
        <w:rPr>
          <w:rStyle w:val="a4"/>
          <w:rFonts w:ascii="Verdana" w:hAnsi="Verdana"/>
          <w:b w:val="0"/>
          <w:color w:val="000000" w:themeColor="text1"/>
          <w:sz w:val="21"/>
          <w:szCs w:val="21"/>
          <w:shd w:val="clear" w:color="auto" w:fill="F0F8FF"/>
        </w:rPr>
      </w:pPr>
      <w:proofErr w:type="gramStart"/>
      <w:r w:rsidRPr="00744A69">
        <w:rPr>
          <w:rStyle w:val="a4"/>
          <w:rFonts w:ascii="Verdana" w:hAnsi="Verdana"/>
          <w:b w:val="0"/>
          <w:color w:val="000000" w:themeColor="text1"/>
          <w:sz w:val="21"/>
          <w:szCs w:val="21"/>
          <w:shd w:val="clear" w:color="auto" w:fill="F0F8FF"/>
        </w:rPr>
        <w:t xml:space="preserve">В соответствии с пунктом 13 постановления Министерства здравоохранения Республики Беларусь от 19.05.2011 г. № 37 объем </w:t>
      </w:r>
      <w:proofErr w:type="spellStart"/>
      <w:r w:rsidRPr="00744A69">
        <w:rPr>
          <w:rStyle w:val="a4"/>
          <w:rFonts w:ascii="Verdana" w:hAnsi="Verdana"/>
          <w:b w:val="0"/>
          <w:color w:val="000000" w:themeColor="text1"/>
          <w:sz w:val="21"/>
          <w:szCs w:val="21"/>
          <w:shd w:val="clear" w:color="auto" w:fill="F0F8FF"/>
        </w:rPr>
        <w:t>донации</w:t>
      </w:r>
      <w:proofErr w:type="spellEnd"/>
      <w:r w:rsidRPr="00744A69">
        <w:rPr>
          <w:rStyle w:val="a4"/>
          <w:rFonts w:ascii="Verdana" w:hAnsi="Verdana"/>
          <w:b w:val="0"/>
          <w:color w:val="000000" w:themeColor="text1"/>
          <w:sz w:val="21"/>
          <w:szCs w:val="21"/>
          <w:shd w:val="clear" w:color="auto" w:fill="F0F8FF"/>
        </w:rPr>
        <w:t xml:space="preserve"> крови не должен превышать 13% объема циркулирующей крови (7-7,2% от массы тела донора), при этом доза стандартной </w:t>
      </w:r>
      <w:proofErr w:type="spellStart"/>
      <w:r w:rsidRPr="00744A69">
        <w:rPr>
          <w:rStyle w:val="a4"/>
          <w:rFonts w:ascii="Verdana" w:hAnsi="Verdana"/>
          <w:b w:val="0"/>
          <w:color w:val="000000" w:themeColor="text1"/>
          <w:sz w:val="21"/>
          <w:szCs w:val="21"/>
          <w:shd w:val="clear" w:color="auto" w:fill="F0F8FF"/>
        </w:rPr>
        <w:t>кроводачи</w:t>
      </w:r>
      <w:proofErr w:type="spellEnd"/>
      <w:r w:rsidRPr="00744A69">
        <w:rPr>
          <w:rStyle w:val="a4"/>
          <w:rFonts w:ascii="Verdana" w:hAnsi="Verdana"/>
          <w:b w:val="0"/>
          <w:color w:val="000000" w:themeColor="text1"/>
          <w:sz w:val="21"/>
          <w:szCs w:val="21"/>
          <w:shd w:val="clear" w:color="auto" w:fill="F0F8FF"/>
        </w:rPr>
        <w:t xml:space="preserve"> составляет 450 мл ± 50 мл (без учета антикоагулянта), а объем крови, используемой для клинических исследований, не должен превышать 40 мл.</w:t>
      </w:r>
      <w:proofErr w:type="gramEnd"/>
    </w:p>
    <w:p w:rsidR="00337EFD" w:rsidRPr="00337EFD" w:rsidRDefault="00337EFD">
      <w:pPr>
        <w:rPr>
          <w:rFonts w:ascii="Verdana" w:hAnsi="Verdana"/>
          <w:b/>
          <w:bCs/>
          <w:color w:val="A52A2A"/>
          <w:sz w:val="30"/>
          <w:szCs w:val="30"/>
          <w:shd w:val="clear" w:color="auto" w:fill="F0F8FF"/>
        </w:rPr>
      </w:pPr>
      <w:r>
        <w:rPr>
          <w:rStyle w:val="a4"/>
          <w:rFonts w:ascii="Verdana" w:hAnsi="Verdana"/>
          <w:color w:val="A52A2A"/>
          <w:sz w:val="30"/>
          <w:szCs w:val="30"/>
          <w:shd w:val="clear" w:color="auto" w:fill="F0F8FF"/>
        </w:rPr>
        <w:t>5. Какой перечень заболеваний и состояний, при которых сдача крови и ее компонентов противопоказана?</w:t>
      </w:r>
    </w:p>
    <w:p w:rsidR="0003707E" w:rsidRDefault="00337EFD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Подробнее о заболеваниях и состояниях, при которых сдача крови и ее компонентов противопоказана, можно узнать на </w:t>
      </w:r>
      <w:hyperlink r:id="rId9" w:history="1">
        <w:r w:rsidRPr="0011083A">
          <w:rPr>
            <w:rStyle w:val="a5"/>
            <w:rFonts w:ascii="Verdana" w:eastAsia="Times New Roman" w:hAnsi="Verdana" w:cs="Times New Roman"/>
            <w:sz w:val="21"/>
            <w:szCs w:val="21"/>
            <w:lang w:eastAsia="ru-RU"/>
          </w:rPr>
          <w:t>http://blood.by/donoram/kak-stat-donorom</w:t>
        </w:r>
      </w:hyperlink>
    </w:p>
    <w:p w:rsidR="00337EFD" w:rsidRDefault="00337EFD">
      <w:pPr>
        <w:rPr>
          <w:rStyle w:val="a4"/>
          <w:rFonts w:ascii="Verdana" w:hAnsi="Verdana"/>
          <w:color w:val="0066CC"/>
          <w:shd w:val="clear" w:color="auto" w:fill="F0F8FF"/>
        </w:rPr>
      </w:pPr>
      <w:r>
        <w:rPr>
          <w:rStyle w:val="a4"/>
          <w:rFonts w:ascii="Verdana" w:hAnsi="Verdana"/>
          <w:color w:val="0066CC"/>
          <w:shd w:val="clear" w:color="auto" w:fill="F0F8FF"/>
        </w:rPr>
        <w:t>Важно!!!</w:t>
      </w:r>
      <w:r>
        <w:rPr>
          <w:rFonts w:ascii="Verdana" w:hAnsi="Verdana"/>
          <w:b/>
          <w:bCs/>
          <w:color w:val="0066CC"/>
          <w:shd w:val="clear" w:color="auto" w:fill="F0F8FF"/>
        </w:rPr>
        <w:br/>
      </w:r>
      <w:r>
        <w:rPr>
          <w:rStyle w:val="a4"/>
          <w:rFonts w:ascii="Verdana" w:hAnsi="Verdana"/>
          <w:color w:val="0066CC"/>
          <w:shd w:val="clear" w:color="auto" w:fill="F0F8FF"/>
        </w:rPr>
        <w:t xml:space="preserve">Минимальные интервалы между </w:t>
      </w:r>
      <w:proofErr w:type="spellStart"/>
      <w:r>
        <w:rPr>
          <w:rStyle w:val="a4"/>
          <w:rFonts w:ascii="Verdana" w:hAnsi="Verdana"/>
          <w:color w:val="0066CC"/>
          <w:shd w:val="clear" w:color="auto" w:fill="F0F8FF"/>
        </w:rPr>
        <w:t>донациями</w:t>
      </w:r>
      <w:proofErr w:type="spellEnd"/>
      <w:r>
        <w:rPr>
          <w:rStyle w:val="a4"/>
          <w:rFonts w:ascii="Verdana" w:hAnsi="Verdana"/>
          <w:color w:val="0066CC"/>
          <w:shd w:val="clear" w:color="auto" w:fill="F0F8FF"/>
        </w:rPr>
        <w:t xml:space="preserve"> крови составляют не менее 60 календарных дней, после каждой 5-ой </w:t>
      </w:r>
      <w:proofErr w:type="spellStart"/>
      <w:r>
        <w:rPr>
          <w:rStyle w:val="a4"/>
          <w:rFonts w:ascii="Verdana" w:hAnsi="Verdana"/>
          <w:color w:val="0066CC"/>
          <w:shd w:val="clear" w:color="auto" w:fill="F0F8FF"/>
        </w:rPr>
        <w:t>донации</w:t>
      </w:r>
      <w:proofErr w:type="spellEnd"/>
      <w:r>
        <w:rPr>
          <w:rStyle w:val="a4"/>
          <w:rFonts w:ascii="Verdana" w:hAnsi="Verdana"/>
          <w:color w:val="0066CC"/>
          <w:shd w:val="clear" w:color="auto" w:fill="F0F8FF"/>
        </w:rPr>
        <w:t xml:space="preserve"> – не менее 90 календарных дней, между </w:t>
      </w:r>
      <w:proofErr w:type="spellStart"/>
      <w:r>
        <w:rPr>
          <w:rStyle w:val="a4"/>
          <w:rFonts w:ascii="Verdana" w:hAnsi="Verdana"/>
          <w:color w:val="0066CC"/>
          <w:shd w:val="clear" w:color="auto" w:fill="F0F8FF"/>
        </w:rPr>
        <w:t>донациями</w:t>
      </w:r>
      <w:proofErr w:type="spellEnd"/>
      <w:r>
        <w:rPr>
          <w:rStyle w:val="a4"/>
          <w:rFonts w:ascii="Verdana" w:hAnsi="Verdana"/>
          <w:color w:val="0066CC"/>
          <w:shd w:val="clear" w:color="auto" w:fill="F0F8FF"/>
        </w:rPr>
        <w:t xml:space="preserve"> компонентов крови (плазмы, тромбоцитов) – не менее 14 календарных дней, между </w:t>
      </w:r>
      <w:proofErr w:type="spellStart"/>
      <w:r>
        <w:rPr>
          <w:rStyle w:val="a4"/>
          <w:rFonts w:ascii="Verdana" w:hAnsi="Verdana"/>
          <w:color w:val="0066CC"/>
          <w:shd w:val="clear" w:color="auto" w:fill="F0F8FF"/>
        </w:rPr>
        <w:t>донацией</w:t>
      </w:r>
      <w:proofErr w:type="spellEnd"/>
      <w:r>
        <w:rPr>
          <w:rStyle w:val="a4"/>
          <w:rFonts w:ascii="Verdana" w:hAnsi="Verdana"/>
          <w:color w:val="0066CC"/>
          <w:shd w:val="clear" w:color="auto" w:fill="F0F8FF"/>
        </w:rPr>
        <w:t xml:space="preserve"> компонентов крови (плазмы, тромбоцитов) и </w:t>
      </w:r>
      <w:proofErr w:type="spellStart"/>
      <w:r>
        <w:rPr>
          <w:rStyle w:val="a4"/>
          <w:rFonts w:ascii="Verdana" w:hAnsi="Verdana"/>
          <w:color w:val="0066CC"/>
          <w:shd w:val="clear" w:color="auto" w:fill="F0F8FF"/>
        </w:rPr>
        <w:t>донацией</w:t>
      </w:r>
      <w:proofErr w:type="spellEnd"/>
      <w:r>
        <w:rPr>
          <w:rStyle w:val="a4"/>
          <w:rFonts w:ascii="Verdana" w:hAnsi="Verdana"/>
          <w:color w:val="0066CC"/>
          <w:shd w:val="clear" w:color="auto" w:fill="F0F8FF"/>
        </w:rPr>
        <w:t xml:space="preserve"> крови – не менее 30 календарных дней.</w:t>
      </w:r>
      <w:r>
        <w:rPr>
          <w:rFonts w:ascii="Verdana" w:hAnsi="Verdana"/>
          <w:b/>
          <w:bCs/>
          <w:color w:val="0066CC"/>
          <w:shd w:val="clear" w:color="auto" w:fill="F0F8FF"/>
        </w:rPr>
        <w:br/>
      </w:r>
      <w:r>
        <w:rPr>
          <w:rStyle w:val="a4"/>
          <w:rFonts w:ascii="Verdana" w:hAnsi="Verdana"/>
          <w:color w:val="0066CC"/>
          <w:shd w:val="clear" w:color="auto" w:fill="F0F8FF"/>
        </w:rPr>
        <w:lastRenderedPageBreak/>
        <w:t>Максимальный объем забора компонентов крови суммарно в течение календарного года не может превышать 20 л.</w:t>
      </w:r>
    </w:p>
    <w:p w:rsidR="00744A69" w:rsidRDefault="00744A69">
      <w:pPr>
        <w:rPr>
          <w:rStyle w:val="a4"/>
          <w:rFonts w:ascii="Verdana" w:hAnsi="Verdana"/>
          <w:color w:val="0066CC"/>
          <w:shd w:val="clear" w:color="auto" w:fill="F0F8FF"/>
        </w:rPr>
      </w:pPr>
      <w:proofErr w:type="spellStart"/>
      <w:r>
        <w:rPr>
          <w:rStyle w:val="a4"/>
          <w:rFonts w:ascii="Verdana" w:hAnsi="Verdana"/>
          <w:color w:val="0066CC"/>
          <w:shd w:val="clear" w:color="auto" w:fill="F0F8FF"/>
        </w:rPr>
        <w:t>Куцко</w:t>
      </w:r>
      <w:proofErr w:type="spellEnd"/>
      <w:r>
        <w:rPr>
          <w:rStyle w:val="a4"/>
          <w:rFonts w:ascii="Verdana" w:hAnsi="Verdana"/>
          <w:color w:val="0066CC"/>
          <w:shd w:val="clear" w:color="auto" w:fill="F0F8FF"/>
        </w:rPr>
        <w:t xml:space="preserve"> Е.К. – зав. поликлиники </w:t>
      </w:r>
      <w:proofErr w:type="spellStart"/>
      <w:r>
        <w:rPr>
          <w:rStyle w:val="a4"/>
          <w:rFonts w:ascii="Verdana" w:hAnsi="Verdana"/>
          <w:color w:val="0066CC"/>
          <w:shd w:val="clear" w:color="auto" w:fill="F0F8FF"/>
        </w:rPr>
        <w:t>Дятловской</w:t>
      </w:r>
      <w:proofErr w:type="spellEnd"/>
      <w:r>
        <w:rPr>
          <w:rStyle w:val="a4"/>
          <w:rFonts w:ascii="Verdana" w:hAnsi="Verdana"/>
          <w:color w:val="0066CC"/>
          <w:shd w:val="clear" w:color="auto" w:fill="F0F8FF"/>
        </w:rPr>
        <w:t xml:space="preserve"> ЦРБ</w:t>
      </w:r>
    </w:p>
    <w:p w:rsidR="000A023A" w:rsidRDefault="000A023A" w:rsidP="000A023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8100" cy="2466975"/>
            <wp:effectExtent l="0" t="0" r="0" b="9525"/>
            <wp:docPr id="1" name="Рисунок 1" descr="C:\Users\zakupki\Desktop\fa4f0687135f3a72ec717d6967224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fa4f0687135f3a72ec717d6967224c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3A" w:rsidRDefault="000A023A" w:rsidP="000A023A">
      <w:bookmarkStart w:id="0" w:name="_GoBack"/>
      <w:bookmarkEnd w:id="0"/>
    </w:p>
    <w:sectPr w:rsidR="000A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41C"/>
    <w:multiLevelType w:val="multilevel"/>
    <w:tmpl w:val="9F7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7E"/>
    <w:rsid w:val="0003707E"/>
    <w:rsid w:val="000A023A"/>
    <w:rsid w:val="00337EFD"/>
    <w:rsid w:val="00744A69"/>
    <w:rsid w:val="00D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7E"/>
    <w:rPr>
      <w:b/>
      <w:bCs/>
    </w:rPr>
  </w:style>
  <w:style w:type="paragraph" w:customStyle="1" w:styleId="rtejustify">
    <w:name w:val="rtejustify"/>
    <w:basedOn w:val="a"/>
    <w:rsid w:val="0003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70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7E"/>
    <w:rPr>
      <w:b/>
      <w:bCs/>
    </w:rPr>
  </w:style>
  <w:style w:type="paragraph" w:customStyle="1" w:styleId="rtejustify">
    <w:name w:val="rtejustify"/>
    <w:basedOn w:val="a"/>
    <w:rsid w:val="0003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70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2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1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document/?guid=3871&amp;p0=P308002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lood.by/sites/default/files/zakon_o_donorstve_krovi_i_ee_komponentov_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lood.by/donoram/kak-stat-donor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cp:lastPrinted>2020-05-29T07:26:00Z</cp:lastPrinted>
  <dcterms:created xsi:type="dcterms:W3CDTF">2020-05-28T13:50:00Z</dcterms:created>
  <dcterms:modified xsi:type="dcterms:W3CDTF">2020-06-05T09:47:00Z</dcterms:modified>
</cp:coreProperties>
</file>