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DA" w:rsidRPr="001968DA" w:rsidRDefault="001968DA" w:rsidP="001968DA">
      <w:pPr>
        <w:pStyle w:val="a5"/>
        <w:rPr>
          <w:rFonts w:eastAsia="Times New Roman"/>
          <w:lang w:eastAsia="ru-RU"/>
        </w:rPr>
      </w:pPr>
      <w:r w:rsidRPr="001968DA">
        <w:rPr>
          <w:rFonts w:eastAsia="Times New Roman"/>
          <w:lang w:eastAsia="ru-RU"/>
        </w:rPr>
        <w:t>12 ОКТЯБРЯ - ВСЕМИРНЫЙ ДЕНЬ БОРЬБЫ С АРТРИТОМ</w:t>
      </w:r>
    </w:p>
    <w:p w:rsidR="001968DA" w:rsidRPr="001968DA" w:rsidRDefault="001968DA" w:rsidP="001968DA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noProof/>
          <w:color w:val="5A5A5A"/>
          <w:sz w:val="24"/>
          <w:szCs w:val="24"/>
          <w:lang w:eastAsia="ru-RU"/>
        </w:rPr>
        <w:drawing>
          <wp:inline distT="0" distB="0" distL="0" distR="0" wp14:anchorId="433B5D4A" wp14:editId="5776CACE">
            <wp:extent cx="5991225" cy="3343275"/>
            <wp:effectExtent l="0" t="0" r="9525" b="9525"/>
            <wp:docPr id="5" name="Рисунок 5" descr="https://24gp.by/images/news/2019/photo_2019-10-10_14-44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4gp.by/images/news/2019/photo_2019-10-10_14-44-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Инициатором проведения Всемирного дня борьбы с артритом впервые в 1996 году выступила Всемирная организация здравоохранения, отмечается он 12 октября, ежегодно.</w:t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Основная цель проведения этого дня – привлечь внимание широкой общественности к проблеме ревматических заболеваний, объединить усилия пациентов, врачей, общественности в направлении решения вопросов профилактики, ранней диагностики, медицинской и социальной реабилитации.</w:t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proofErr w:type="spellStart"/>
      <w:proofErr w:type="gramStart"/>
      <w:r w:rsidRPr="001968DA">
        <w:rPr>
          <w:rFonts w:ascii="Verdana" w:eastAsia="Times New Roman" w:hAnsi="Verdana" w:cs="Times New Roman"/>
          <w:b/>
          <w:bCs/>
          <w:color w:val="5A5A5A"/>
          <w:sz w:val="24"/>
          <w:szCs w:val="24"/>
          <w:lang w:eastAsia="ru-RU"/>
        </w:rPr>
        <w:t>Артри́т</w:t>
      </w:r>
      <w:proofErr w:type="spellEnd"/>
      <w:proofErr w:type="gramEnd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(через </w:t>
      </w:r>
      <w:hyperlink r:id="rId7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лат.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</w:t>
      </w:r>
      <w:proofErr w:type="spellStart"/>
      <w:r w:rsidRPr="001968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Arthrītis</w:t>
      </w:r>
      <w:proofErr w:type="spellEnd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«ломота в суставах» от </w:t>
      </w:r>
      <w:hyperlink r:id="rId8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др</w:t>
        </w:r>
        <w:proofErr w:type="gramStart"/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.-</w:t>
        </w:r>
        <w:proofErr w:type="gramEnd"/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греч.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«сустав») — собирательное обозначение </w:t>
      </w:r>
      <w:hyperlink r:id="rId9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болезней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(поражений) </w:t>
      </w:r>
      <w:hyperlink r:id="rId10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суставов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воспалительной этиологии. Протекает в острой и хронической формах с поражением одного или нескольких (</w:t>
      </w:r>
      <w:hyperlink r:id="rId11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полиартрит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) суставов. Среди причин различают инфекции (</w:t>
      </w:r>
      <w:hyperlink r:id="rId12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туберкулёз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, </w:t>
      </w:r>
      <w:hyperlink r:id="rId13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бруцеллёз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), обменные нарушения (</w:t>
      </w:r>
      <w:proofErr w:type="gramStart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например</w:t>
      </w:r>
      <w:proofErr w:type="gramEnd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при </w:t>
      </w:r>
      <w:hyperlink r:id="rId14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подагре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), </w:t>
      </w:r>
      <w:hyperlink r:id="rId15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травмы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 и др.</w:t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Артрит является широко распространенным заболеванием в человеческой популяции. С течением времени число </w:t>
      </w:r>
      <w:proofErr w:type="gramStart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страдающих</w:t>
      </w:r>
      <w:proofErr w:type="gramEnd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артритом постепенно увеличивается.</w:t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Причина развития ревматоидного артрита достоверно неизвестна. В настоящее время наиболее распространена иммуногенетическая теория возникновения ревматоидного артрита, согласно которой предполагается </w:t>
      </w: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lastRenderedPageBreak/>
        <w:t>наличие генетически обусловленного дефекта иммунной системы, приводящего к патологической реакции на провоцирующие факторы.</w:t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Все типы артрита сопровождает </w:t>
      </w:r>
      <w:hyperlink r:id="rId16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боль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, характер которой зависит от типа артрита. Также для артритов характерны покраснение кожи, ограничение подвижности в суставе, изменение его формы. Часто подверженные болезни суставы неестественно хрустят при нагрузке. Человек, болеющий артритом, может испытывать трудности в случаях, если нужно применить физическую силу.</w:t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Элементы истории болезни обусловливают диагноз. Важными элементами являются время появления и скорость развития болезни, наличие утренней </w:t>
      </w:r>
      <w:proofErr w:type="spellStart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тугоподвижности</w:t>
      </w:r>
      <w:proofErr w:type="spellEnd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, боли, «запирание» сустава вследствие неактивности и др. </w:t>
      </w:r>
      <w:hyperlink r:id="rId17" w:history="1">
        <w:r w:rsidRPr="001968DA">
          <w:rPr>
            <w:rFonts w:ascii="Verdana" w:eastAsia="Times New Roman" w:hAnsi="Verdana" w:cs="Times New Roman"/>
            <w:color w:val="00A392"/>
            <w:sz w:val="24"/>
            <w:szCs w:val="24"/>
            <w:lang w:eastAsia="ru-RU"/>
          </w:rPr>
          <w:t>Рентгенография</w:t>
        </w:r>
      </w:hyperlink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 и </w:t>
      </w:r>
      <w:proofErr w:type="spellStart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томограмма</w:t>
      </w:r>
      <w:proofErr w:type="spellEnd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используются для более точной диагностики.</w:t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Диагностика артрита представляет собой довольно сложную задачу. Это связано с тем, что причины, вызывающие воспалительные процессы в суставах могут быть различными. Некоторые виды артритов распространены широко и легко диагностируются, а есть такие, при которых поставить правильный диагноз может только опытный врач, после проведения тщательного обследования пациента. Причиной развития артрита может быть какой-либо инфекционный процесс (местный или общий), травма сустава, аллергия, аутоиммунные заболевания, нарушения обмена веществ. Существуют и такие воспалительные заболевания суставов, этиология которых до сих пор представляется недостаточно ясной, примером такой патологии является «Ревматоидный артрит» Для выбора терапии лечения артрита необходимо поставить диагноз и определить, какой именно фактор привел к развитию патологического процесса. Диагностика артрита складывается из следующих данных:</w:t>
      </w:r>
    </w:p>
    <w:p w:rsidR="001968DA" w:rsidRPr="001968DA" w:rsidRDefault="001968DA" w:rsidP="001968D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Тщательного анамнеза заболевания.</w:t>
      </w:r>
    </w:p>
    <w:p w:rsidR="001968DA" w:rsidRPr="001968DA" w:rsidRDefault="001968DA" w:rsidP="001968D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Выявления его связи с аллергическими, инфекционными заболеваниями, травмой.</w:t>
      </w:r>
    </w:p>
    <w:p w:rsidR="001968DA" w:rsidRPr="001968DA" w:rsidRDefault="001968DA" w:rsidP="001968D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Характерной клинической картины артрита.</w:t>
      </w:r>
    </w:p>
    <w:p w:rsidR="001968DA" w:rsidRPr="001968DA" w:rsidRDefault="001968DA" w:rsidP="001968D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Лабораторного метода обследования (при обследовании пациента выявляют признаки воспаления, повышение уровня мочевой кислоты, наличие антител к гемолитическому стрептококку группы</w:t>
      </w:r>
      <w:proofErr w:type="gramStart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А</w:t>
      </w:r>
      <w:proofErr w:type="gramEnd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и т.д.).</w:t>
      </w:r>
    </w:p>
    <w:p w:rsidR="001968DA" w:rsidRPr="001968DA" w:rsidRDefault="001968DA" w:rsidP="001968D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Инструментальной диагностики (рентгенография, УЗИ, компьютерная или магниторезонансная томография).</w:t>
      </w:r>
    </w:p>
    <w:p w:rsidR="001968DA" w:rsidRPr="001968DA" w:rsidRDefault="001968DA" w:rsidP="001968DA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Исследования синовиальной жидкости.</w:t>
      </w:r>
    </w:p>
    <w:p w:rsid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В последние годы для более точной диагностики артритов применяют </w:t>
      </w:r>
      <w:proofErr w:type="spellStart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артроскопию</w:t>
      </w:r>
      <w:proofErr w:type="spellEnd"/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, которая позволяет произвести тщательный осмотр суставной полости, произвести забор синовиальной жидкости для её последующего анализа. Основным методом инструментальной диагностики при артритах является рентгенография. Её обычно проводят </w:t>
      </w:r>
      <w:r w:rsidRPr="001968DA"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lastRenderedPageBreak/>
        <w:t>в двух проекциях, по показаниям рентгеновские снимки могут делаться и дополнительных проекциях, позволяющих более детально выявить локальные изменения, происходящие в пораженных суставах. Все данные, полученные при обследовании, затем должны быть связаны с клинической картиной заболевания.</w:t>
      </w:r>
    </w:p>
    <w:p w:rsidR="001968DA" w:rsidRPr="001968DA" w:rsidRDefault="001968DA" w:rsidP="001968DA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УЗ «</w:t>
      </w:r>
      <w:proofErr w:type="spellStart"/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>Дятловская</w:t>
      </w:r>
      <w:proofErr w:type="spellEnd"/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ЦРБ» врач травматолог Лавровский А.А.</w:t>
      </w:r>
      <w:bookmarkStart w:id="0" w:name="_GoBack"/>
      <w:bookmarkEnd w:id="0"/>
      <w:r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  <w:t xml:space="preserve"> </w:t>
      </w:r>
    </w:p>
    <w:p w:rsidR="00DB121F" w:rsidRPr="00D959C9" w:rsidRDefault="00DB121F" w:rsidP="00D959C9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</w:p>
    <w:sectPr w:rsidR="00DB121F" w:rsidRPr="00D959C9" w:rsidSect="00DB12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42F"/>
    <w:multiLevelType w:val="multilevel"/>
    <w:tmpl w:val="91E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171E0"/>
    <w:multiLevelType w:val="multilevel"/>
    <w:tmpl w:val="F726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D72C7"/>
    <w:multiLevelType w:val="multilevel"/>
    <w:tmpl w:val="FC92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B1D0E"/>
    <w:multiLevelType w:val="multilevel"/>
    <w:tmpl w:val="D0C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B1785"/>
    <w:multiLevelType w:val="multilevel"/>
    <w:tmpl w:val="F8BC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1F"/>
    <w:rsid w:val="001968DA"/>
    <w:rsid w:val="00C5747B"/>
    <w:rsid w:val="00D959C9"/>
    <w:rsid w:val="00D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B12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B1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1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B12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B1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3" Type="http://schemas.openxmlformats.org/officeDocument/2006/relationships/hyperlink" Target="https://ru.wikipedia.org/wiki/%D0%91%D1%80%D1%83%D1%86%D0%B5%D0%BB%D0%BB%D1%91%D0%B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A2%D1%83%D0%B1%D0%B5%D1%80%D0%BA%D1%83%D0%BB%D1%91%D0%B7" TargetMode="External"/><Relationship Id="rId17" Type="http://schemas.openxmlformats.org/officeDocument/2006/relationships/hyperlink" Target="https://ru.wikipedia.org/wiki/%D0%A0%D0%B5%D0%BD%D1%82%D0%B3%D0%B5%D0%BD%D0%BE%D0%B3%D1%80%D0%B0%D1%84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E%D0%BB%D1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F%D0%BE%D0%BB%D0%B8%D0%B0%D1%80%D1%82%D1%80%D0%B8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0%D0%B0%D0%B2%D0%BC%D1%8B" TargetMode="External"/><Relationship Id="rId10" Type="http://schemas.openxmlformats.org/officeDocument/2006/relationships/hyperlink" Target="https://ru.wikipedia.org/wiki/%D0%A1%D1%83%D1%81%D1%82%D0%B0%D0%B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0%BB%D0%B5%D0%B7%D0%BD%D1%8C" TargetMode="External"/><Relationship Id="rId14" Type="http://schemas.openxmlformats.org/officeDocument/2006/relationships/hyperlink" Target="https://ru.wikipedia.org/wiki/%D0%9F%D0%BE%D0%B4%D0%B0%D0%B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2021-11-23T10:00:00Z</dcterms:created>
  <dcterms:modified xsi:type="dcterms:W3CDTF">2021-11-23T10:00:00Z</dcterms:modified>
</cp:coreProperties>
</file>