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4" w:rsidRPr="001D2844" w:rsidRDefault="004D2AB4" w:rsidP="001D2844">
      <w:pPr>
        <w:spacing w:before="250" w:after="125" w:line="240" w:lineRule="auto"/>
        <w:jc w:val="center"/>
        <w:outlineLvl w:val="0"/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</w:pPr>
      <w:proofErr w:type="spellStart"/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Дзеці</w:t>
      </w:r>
      <w:proofErr w:type="spellEnd"/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і</w:t>
      </w:r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proofErr w:type="spellStart"/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гаджэты</w:t>
      </w:r>
      <w:proofErr w:type="spellEnd"/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: </w:t>
      </w:r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да</w:t>
      </w:r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proofErr w:type="spellStart"/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чаго</w:t>
      </w:r>
      <w:proofErr w:type="spellEnd"/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proofErr w:type="spellStart"/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прыводзіць</w:t>
      </w:r>
      <w:proofErr w:type="spellEnd"/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proofErr w:type="spellStart"/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празмернае</w:t>
      </w:r>
      <w:proofErr w:type="spellEnd"/>
      <w:r w:rsidRPr="001D2844">
        <w:rPr>
          <w:rFonts w:ascii="Forte" w:eastAsia="Times New Roman" w:hAnsi="Forte" w:cs="Helvetica"/>
          <w:b/>
          <w:bCs/>
          <w:color w:val="1F497D" w:themeColor="text2"/>
          <w:kern w:val="36"/>
          <w:sz w:val="48"/>
          <w:szCs w:val="48"/>
          <w:lang w:eastAsia="ru-RU"/>
        </w:rPr>
        <w:t xml:space="preserve"> </w:t>
      </w:r>
      <w:proofErr w:type="spellStart"/>
      <w:r w:rsidRPr="001D2844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ru-RU"/>
        </w:rPr>
        <w:t>захапленне</w:t>
      </w:r>
      <w:proofErr w:type="spellEnd"/>
    </w:p>
    <w:p w:rsidR="004D2AB4" w:rsidRPr="004D2AB4" w:rsidRDefault="00AB33AB" w:rsidP="004D2AB4">
      <w:pPr>
        <w:spacing w:before="250" w:after="250" w:line="286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5" style="width:0;height:0" o:hralign="center" o:hrstd="t" o:hr="t" fillcolor="gray" stroked="f"/>
        </w:pic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Апошнім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часам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усё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часцей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можна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пабачыць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дзяцей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самага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рознага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ўзросту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нават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малых,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якія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гуляюць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планшэт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ці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глядзяць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мульці</w:t>
      </w:r>
      <w:proofErr w:type="gram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</w:t>
      </w:r>
      <w:proofErr w:type="gram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і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маміным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тэлефоне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прычым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упраўляюцца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імі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зусім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як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дарослыя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...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Гаджэты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трывала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ўвайшлі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ў наша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жыццё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, часта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замяняючы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жывое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кантактаванне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.</w:t>
      </w:r>
    </w:p>
    <w:p w:rsidR="004D2AB4" w:rsidRPr="004D2AB4" w:rsidRDefault="00AB33AB" w:rsidP="004D2AB4">
      <w:pPr>
        <w:spacing w:before="250" w:after="250" w:line="286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pict>
          <v:rect id="_x0000_i1026" style="width:0;height:0" o:hralign="center" o:hrstd="t" o:hr="t" fillcolor="gray" stroked="f"/>
        </w:pic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6174449" cy="4524292"/>
            <wp:effectExtent l="0" t="0" r="0" b="0"/>
            <wp:docPr id="3" name="Рисунок 3" descr="http://www.zviazda.by/sites/default/files/field/image/13-1_kopiy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field/image/13-1_kopiya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266" cy="452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Губяць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зрок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і не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толькі</w:t>
      </w:r>
      <w:proofErr w:type="spellEnd"/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часам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бескантрольнае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выкарыстанне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вядзе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павелічэння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рызыкі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ўзнікнення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мі</w:t>
      </w:r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яп</w:t>
      </w:r>
      <w:proofErr w:type="gram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блізарукасці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таксама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прагрэсіравання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міяпіі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дзяцей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якія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маюць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гэты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дыягназ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D2AB4" w:rsidRPr="001D2844" w:rsidRDefault="004D2AB4" w:rsidP="004D2AB4">
      <w:pPr>
        <w:spacing w:before="100" w:beforeAutospacing="1" w:after="100" w:afterAutospacing="1" w:line="240" w:lineRule="auto"/>
        <w:rPr>
          <w:rFonts w:eastAsia="Times New Roman" w:cs="Helvetica"/>
          <w:b/>
          <w:color w:val="333333"/>
          <w:sz w:val="20"/>
          <w:szCs w:val="20"/>
          <w:lang w:eastAsia="ru-RU"/>
        </w:rPr>
      </w:pPr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Розныя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праблемы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зрокам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большасці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людзей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узнікаюць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яшчэ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дзяцінстве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таму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дарослым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варта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клапаціцца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захаванні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ўмацаванні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зроку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свайго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дзіцяці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асабліва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выпадках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калі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існуюць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спадчынныя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фактары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кагосьці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блізкіх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сваякоў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ёсць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парушэнні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зроку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дзіцяці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пачынае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пагаршацца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зрок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 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тлумачыць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урач-афтальмолаг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r w:rsidR="001D2844">
        <w:rPr>
          <w:rFonts w:eastAsia="Times New Roman" w:cs="Helvetica"/>
          <w:b/>
          <w:bCs/>
          <w:color w:val="333333"/>
          <w:sz w:val="20"/>
          <w:lang w:eastAsia="ru-RU"/>
        </w:rPr>
        <w:t xml:space="preserve">  </w:t>
      </w:r>
      <w:proofErr w:type="spellStart"/>
      <w:r w:rsidR="001D2844" w:rsidRPr="001D2844">
        <w:rPr>
          <w:rFonts w:eastAsia="Times New Roman" w:cs="Helvetica"/>
          <w:b/>
          <w:bCs/>
          <w:color w:val="333333"/>
          <w:sz w:val="20"/>
          <w:lang w:eastAsia="ru-RU"/>
        </w:rPr>
        <w:t>ДЗЯТЛА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ў</w:t>
      </w:r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СКАЙ</w:t>
      </w:r>
      <w:proofErr w:type="spellEnd"/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ПАЛ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і</w:t>
      </w:r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КЛ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і</w:t>
      </w:r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Н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і</w:t>
      </w:r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К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і</w:t>
      </w:r>
      <w:proofErr w:type="spellEnd"/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 xml:space="preserve">   ПАВЕЛ </w:t>
      </w:r>
      <w:proofErr w:type="spellStart"/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ДАН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і</w:t>
      </w:r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ЛОВ</w:t>
      </w:r>
      <w:r w:rsidR="001D2844" w:rsidRPr="001D28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і</w:t>
      </w:r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Ч</w:t>
      </w:r>
      <w:proofErr w:type="spellEnd"/>
      <w:r w:rsidR="001D2844" w:rsidRPr="001D2844">
        <w:rPr>
          <w:rFonts w:eastAsia="Times New Roman" w:cs="Helvetica"/>
          <w:b/>
          <w:color w:val="333333"/>
          <w:sz w:val="20"/>
          <w:szCs w:val="20"/>
          <w:lang w:eastAsia="ru-RU"/>
        </w:rPr>
        <w:t>.</w:t>
      </w:r>
      <w:proofErr w:type="gramEnd"/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 xml:space="preserve">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Праводзіліся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даследаванні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уплыве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яркага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святла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планшэта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выпрацоўку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мелатаніну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гармону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неабходнага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ліку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</w:t>
      </w:r>
      <w:proofErr w:type="gram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сну.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Высветлілася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што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выкарыстанне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планшэта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працягу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дзвюх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гадзін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дзень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рэжыме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яркай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падсветкі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змяншае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канцэнтрацыю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мелатаніну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адпаведна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часцей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развіваецца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бяссонніца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стамляльнасць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раздражнёнасць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 — кажа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суразмоўца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 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Вывучаецца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ўплыў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сіняга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спектра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святла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гаджэтаў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стан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сятчаткі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Справа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што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дарослых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хрусталік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змяшчае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болей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жоўтага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</w:t>
      </w:r>
      <w:proofErr w:type="gram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ігменту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з'яўляецца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своеасаблівым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фільтрам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сінега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колеру, у той час як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хрусталік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дзіцяці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больш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празрысты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светлы.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Сіні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колер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садзейнічаць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развіццю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паталогіі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сятчаткі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дарослым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узросце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Як </w:t>
      </w:r>
      <w:proofErr w:type="spellStart"/>
      <w:proofErr w:type="gram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м</w:t>
      </w:r>
      <w:proofErr w:type="gram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інімізаваць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шкодны</w:t>
      </w:r>
      <w:proofErr w:type="spellEnd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ўплыў</w:t>
      </w:r>
      <w:proofErr w:type="spellEnd"/>
    </w:p>
    <w:p w:rsidR="004D2AB4" w:rsidRPr="004D2AB4" w:rsidRDefault="004D2AB4" w:rsidP="004D2AB4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Пачнём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выбару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самога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гаджэта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. Тут </w:t>
      </w:r>
      <w:proofErr w:type="gramStart"/>
      <w:r w:rsidRPr="004D2AB4">
        <w:rPr>
          <w:rFonts w:ascii="Helvetica" w:eastAsia="Times New Roman" w:hAnsi="Helvetica" w:cs="Helvetica"/>
          <w:color w:val="333333"/>
          <w:lang w:eastAsia="ru-RU"/>
        </w:rPr>
        <w:t>важная</w:t>
      </w:r>
      <w:proofErr w:type="gram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дыяганаль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экрана,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бо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чым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меншы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экран,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тым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мацней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напружваюцца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вочы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Таму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планшэт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дыяганаллю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экрану 10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цаляў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лепшы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чым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7-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цалёвы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Чытаць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трэба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седзячы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лепш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паставіць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гаджэт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цвёрдую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паверхню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каб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адлегласць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вачэй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дзіцяці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 экрана не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мянялася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сярэднім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павінна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складаць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30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сантыметраў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адлегласць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кончыкаў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пальцаў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локця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дзіцяці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). Не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рэкамендуецца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чытаць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гуляць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транспарце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рухаецца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Яркасць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экрана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неабходна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рэгуляваць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напрыклад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прыходзячы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вуліцы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памяшканне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зменшыць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цёмны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сутак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абавязкова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павінна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дадатковая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крыніца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святла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— </w:t>
      </w:r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Часта</w:t>
      </w:r>
      <w:proofErr w:type="gram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бацькоў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пачуць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пытанне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тое,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колькі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можна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праводзіць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планшэтам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два гады</w:t>
      </w:r>
      <w:r w:rsidR="001D2844">
        <w:rPr>
          <w:rFonts w:eastAsia="Times New Roman" w:cs="Helvetica"/>
          <w:color w:val="333333"/>
          <w:sz w:val="20"/>
          <w:szCs w:val="20"/>
          <w:lang w:eastAsia="ru-RU"/>
        </w:rPr>
        <w:t xml:space="preserve">. </w:t>
      </w:r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Але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такім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узросце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павінна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актыўна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пазнаваць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свет,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выкарыстоўваючы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ўсе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органы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пачуццяў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 не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планшэце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сядзець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!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Сумарны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праведзены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перад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тэлевізарам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планшэтам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камп'ютарам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дзяцей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5-7 да 14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гадоў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павінен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перавышаць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дзве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гадзіны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Кожныя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20—30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хвілін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такой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нагрузкі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неабходна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рабіць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перапынак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пажадана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каб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ён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быў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звязаны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фізічнай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актыўнасцю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 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гульнёй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дапамогай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бацькам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па доме.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Таксама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трэба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рабіць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зрокавую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гімнастыку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Гуляючы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дзіцем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вуліцы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звяртайце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яго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ўвагу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дэталі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кожным</w:t>
      </w:r>
      <w:proofErr w:type="gram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зручным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выпадку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(хвост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птушкі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вусы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кошкі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каменьчыкі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кветкі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разглядайце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далёка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блізка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размешчаныя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прадметы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чаргуючы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Прагулкі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свежае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паветра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надзвычай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карысныя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вачэй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як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заняткі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такімі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відамі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спорту, як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плаванне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настольны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тэніс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бег.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Харчуйцеся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правільна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адпаведнасці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узроставым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рацыёнам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не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забываючы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ўключаць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карысныя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для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вачэй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прадукты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: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чарніцы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моркву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абляпіху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зеляніну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фрукты, мяса, рыбу.</w:t>
      </w:r>
    </w:p>
    <w:p w:rsidR="004D2AB4" w:rsidRPr="004D2AB4" w:rsidRDefault="004D2AB4" w:rsidP="004D2AB4">
      <w:pPr>
        <w:shd w:val="clear" w:color="auto" w:fill="FDEFCE"/>
        <w:spacing w:after="100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Хоць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бы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гадзіну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дзень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размаўляйце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дзіцем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арганізуйце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сумесны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адпачынак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тэатр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, музей, </w:t>
      </w:r>
      <w:proofErr w:type="spellStart"/>
      <w:proofErr w:type="gramStart"/>
      <w:r w:rsidRPr="004D2AB4">
        <w:rPr>
          <w:rFonts w:ascii="Helvetica" w:eastAsia="Times New Roman" w:hAnsi="Helvetica" w:cs="Helvetica"/>
          <w:color w:val="333333"/>
          <w:lang w:eastAsia="ru-RU"/>
        </w:rPr>
        <w:t>п</w:t>
      </w:r>
      <w:proofErr w:type="gramEnd"/>
      <w:r w:rsidRPr="004D2AB4">
        <w:rPr>
          <w:rFonts w:ascii="Helvetica" w:eastAsia="Times New Roman" w:hAnsi="Helvetica" w:cs="Helvetica"/>
          <w:color w:val="333333"/>
          <w:lang w:eastAsia="ru-RU"/>
        </w:rPr>
        <w:t>ікнік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гульні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на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свежым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lang w:eastAsia="ru-RU"/>
        </w:rPr>
        <w:t>паветры</w:t>
      </w:r>
      <w:proofErr w:type="spellEnd"/>
      <w:r w:rsidRPr="004D2AB4">
        <w:rPr>
          <w:rFonts w:ascii="Helvetica" w:eastAsia="Times New Roman" w:hAnsi="Helvetica" w:cs="Helvetica"/>
          <w:color w:val="333333"/>
          <w:lang w:eastAsia="ru-RU"/>
        </w:rPr>
        <w:t>).</w:t>
      </w:r>
    </w:p>
    <w:p w:rsidR="004D2AB4" w:rsidRPr="004D2AB4" w:rsidRDefault="004D2AB4" w:rsidP="004D2AB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—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Бацькі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часта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кажуць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што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немагчыма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абмежаваць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выкарыстанне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гаджэтаў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 — кажа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спецыяліст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 — але,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напрыклад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усім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вядомы</w:t>
      </w:r>
      <w:proofErr w:type="spellEnd"/>
      <w:proofErr w:type="gram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іл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Гейтс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абмяжоўваў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сваіх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дзяцей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у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выкарыстанні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гульнявых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прыставак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камп'ютара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а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Стыў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Джобс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кожны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вячэраў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з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сям'ёй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размаўляў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пра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кнігі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гісторыю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, і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ніхто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ў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гэты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час не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даставаў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proofErr w:type="spellStart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планшэт</w:t>
      </w:r>
      <w:proofErr w:type="spellEnd"/>
      <w:r w:rsidRPr="004D2AB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sectPr w:rsidR="004D2AB4" w:rsidRPr="004D2AB4" w:rsidSect="00235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560"/>
    <w:multiLevelType w:val="multilevel"/>
    <w:tmpl w:val="37C0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E51F22"/>
    <w:multiLevelType w:val="multilevel"/>
    <w:tmpl w:val="3624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156C9A"/>
    <w:multiLevelType w:val="multilevel"/>
    <w:tmpl w:val="1A9E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9019D"/>
    <w:multiLevelType w:val="multilevel"/>
    <w:tmpl w:val="3754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0D339C"/>
    <w:multiLevelType w:val="multilevel"/>
    <w:tmpl w:val="968E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AB4"/>
    <w:rsid w:val="00126201"/>
    <w:rsid w:val="001D2844"/>
    <w:rsid w:val="00235E0E"/>
    <w:rsid w:val="004D2AB4"/>
    <w:rsid w:val="00AB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E"/>
  </w:style>
  <w:style w:type="paragraph" w:styleId="1">
    <w:name w:val="heading 1"/>
    <w:basedOn w:val="a"/>
    <w:link w:val="10"/>
    <w:uiPriority w:val="9"/>
    <w:qFormat/>
    <w:rsid w:val="004D2A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D2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D2A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2A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2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A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D2AB4"/>
  </w:style>
  <w:style w:type="character" w:styleId="a3">
    <w:name w:val="Hyperlink"/>
    <w:basedOn w:val="a0"/>
    <w:uiPriority w:val="99"/>
    <w:semiHidden/>
    <w:unhideWhenUsed/>
    <w:rsid w:val="004D2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D2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D2A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2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876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77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5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86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3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74844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24" w:space="13" w:color="781212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86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1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BE8E5"/>
                        <w:right w:val="none" w:sz="0" w:space="0" w:color="auto"/>
                      </w:divBdr>
                      <w:divsChild>
                        <w:div w:id="145289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3854">
                              <w:marLeft w:val="0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80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6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FBE8E5"/>
                        <w:right w:val="none" w:sz="0" w:space="0" w:color="auto"/>
                      </w:divBdr>
                      <w:divsChild>
                        <w:div w:id="19018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4451">
                              <w:marLeft w:val="0"/>
                              <w:marRight w:val="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61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556</Words>
  <Characters>3172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4</cp:revision>
  <dcterms:created xsi:type="dcterms:W3CDTF">2018-09-13T06:20:00Z</dcterms:created>
  <dcterms:modified xsi:type="dcterms:W3CDTF">2018-09-14T09:23:00Z</dcterms:modified>
</cp:coreProperties>
</file>